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</w:t>
      </w:r>
      <w:r w:rsidR="00B61DB1" w:rsidRPr="00BD1880">
        <w:rPr>
          <w:sz w:val="24"/>
          <w:szCs w:val="24"/>
          <w:u w:val="single"/>
        </w:rPr>
        <w:t>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BD1880">
        <w:rPr>
          <w:sz w:val="24"/>
          <w:szCs w:val="24"/>
          <w:u w:val="single"/>
        </w:rPr>
        <w:t xml:space="preserve">с момента ввода в эксплуатацию </w:t>
      </w:r>
      <w:r w:rsidRPr="00BD1880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днях)</w:t>
      </w:r>
      <w:r w:rsidRPr="00BD1880">
        <w:rPr>
          <w:sz w:val="24"/>
          <w:szCs w:val="24"/>
          <w:u w:val="single"/>
        </w:rPr>
        <w:t>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BD1880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</w:rPr>
        <w:lastRenderedPageBreak/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685447247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5.95pt;height:60.8pt" o:ole="" fillcolor="window">
            <v:imagedata r:id="rId7" o:title=""/>
          </v:shape>
          <o:OLEObject Type="Embed" ProgID="Equation.3" ShapeID="_x0000_i1026" DrawAspect="Content" ObjectID="_1685447248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</w:rPr>
        <w:t>Оценка производится с учетом цен за период. По каждой единице продукции оценивается одна цена за каждый год.</w:t>
      </w: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CC6384" w:rsidRPr="00BD1880">
        <w:rPr>
          <w:sz w:val="24"/>
          <w:szCs w:val="24"/>
        </w:rPr>
        <w:t xml:space="preserve"> с учетом периода</w:t>
      </w:r>
      <w:r w:rsidRPr="00BD1880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685447249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25pt;height:19.65pt" o:ole="">
            <v:imagedata r:id="rId11" o:title=""/>
          </v:shape>
          <o:OLEObject Type="Embed" ProgID="Equation.3" ShapeID="_x0000_i1028" DrawAspect="Content" ObjectID="_1685447250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8.05pt;height:28.05pt" o:ole="">
            <v:imagedata r:id="rId13" o:title=""/>
          </v:shape>
          <o:OLEObject Type="Embed" ProgID="Equation.3" ShapeID="_x0000_i1029" DrawAspect="Content" ObjectID="_1685447251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BD1880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BD1880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BD1880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D1880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.15pt;height:19.65pt" o:ole="" fillcolor="window">
            <v:imagedata r:id="rId16" o:title=""/>
          </v:shape>
          <o:OLEObject Type="Embed" ProgID="Equation.3" ShapeID="_x0000_i1030" DrawAspect="Content" ObjectID="_1685447252" r:id="rId17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4pt;height:21.5pt" o:ole="" fillcolor="window">
            <v:imagedata r:id="rId18" o:title=""/>
          </v:shape>
          <o:OLEObject Type="Embed" ProgID="Equation.3" ShapeID="_x0000_i1031" DrawAspect="Content" ObjectID="_1685447253" r:id="rId1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75pt;height:43pt" o:ole="" fillcolor="window">
            <v:imagedata r:id="rId20" o:title=""/>
          </v:shape>
          <o:OLEObject Type="Embed" ProgID="Equation.3" ShapeID="_x0000_i1032" DrawAspect="Content" ObjectID="_1685447254" r:id="rId21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4pt;height:21.5pt" o:ole="" fillcolor="window">
            <v:imagedata r:id="rId22" o:title=""/>
          </v:shape>
          <o:OLEObject Type="Embed" ProgID="Equation.3" ShapeID="_x0000_i1033" DrawAspect="Content" ObjectID="_1685447255" r:id="rId23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lastRenderedPageBreak/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9pt;height:20.55pt" o:ole="" fillcolor="window">
            <v:imagedata r:id="rId24" o:title=""/>
          </v:shape>
          <o:OLEObject Type="Embed" ProgID="Equation.3" ShapeID="_x0000_i1034" DrawAspect="Content" ObjectID="_1685447256" r:id="rId25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45pt;height:21.5pt" o:ole="" fillcolor="window">
            <v:imagedata r:id="rId26" o:title=""/>
          </v:shape>
          <o:OLEObject Type="Embed" ProgID="Equation.3" ShapeID="_x0000_i1035" DrawAspect="Content" ObjectID="_1685447257" r:id="rId27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8.75pt;height:60.8pt" o:ole="" fillcolor="window">
            <v:imagedata r:id="rId28" o:title=""/>
          </v:shape>
          <o:OLEObject Type="Embed" ProgID="Equation.3" ShapeID="_x0000_i1036" DrawAspect="Content" ObjectID="_1685447258" r:id="rId29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 с учетом периода;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45pt;height:21.5pt" o:ole="" fillcolor="window">
            <v:imagedata r:id="rId30" o:title=""/>
          </v:shape>
          <o:OLEObject Type="Embed" ProgID="Equation.3" ShapeID="_x0000_i1037" DrawAspect="Content" ObjectID="_1685447259" r:id="rId31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40.2pt;height:19.65pt" o:ole="">
            <v:imagedata r:id="rId32" o:title=""/>
          </v:shape>
          <o:OLEObject Type="Embed" ProgID="Equation.3" ShapeID="_x0000_i1038" DrawAspect="Content" ObjectID="_1685447260" r:id="rId33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6.2pt;height:28.05pt" o:ole="">
            <v:imagedata r:id="rId34" o:title=""/>
          </v:shape>
          <o:OLEObject Type="Embed" ProgID="Equation.3" ShapeID="_x0000_i1039" DrawAspect="Content" ObjectID="_1685447261" r:id="rId35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9pt;height:20.55pt" o:ole="" fillcolor="window">
            <v:imagedata r:id="rId36" o:title=""/>
          </v:shape>
          <o:OLEObject Type="Embed" ProgID="Equation.3" ShapeID="_x0000_i1040" DrawAspect="Content" ObjectID="_1685447262" r:id="rId37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.3pt;height:21.5pt" o:ole="" fillcolor="window">
            <v:imagedata r:id="rId38" o:title=""/>
          </v:shape>
          <o:OLEObject Type="Embed" ProgID="Equation.3" ShapeID="_x0000_i1041" DrawAspect="Content" ObjectID="_1685447263" r:id="rId3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2pt;height:32.75pt" o:ole="" fillcolor="window">
            <v:imagedata r:id="rId40" o:title=""/>
          </v:shape>
          <o:OLEObject Type="Embed" ProgID="Equation.3" ShapeID="_x0000_i1042" DrawAspect="Content" ObjectID="_1685447264" r:id="rId41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.3pt;height:21.5pt" o:ole="" fillcolor="window">
            <v:imagedata r:id="rId42" o:title=""/>
          </v:shape>
          <o:OLEObject Type="Embed" ProgID="Equation.3" ShapeID="_x0000_i1043" DrawAspect="Content" ObjectID="_1685447265" r:id="rId43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9pt;height:20.55pt" o:ole="" fillcolor="window">
            <v:imagedata r:id="rId44" o:title=""/>
          </v:shape>
          <o:OLEObject Type="Embed" ProgID="Equation.3" ShapeID="_x0000_i1044" DrawAspect="Content" ObjectID="_1685447266" r:id="rId45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BD1880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D1880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Наивысшее место в итоговой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получает </w:t>
      </w:r>
      <w:r w:rsidR="00FE6DEF" w:rsidRPr="00BD1880">
        <w:rPr>
          <w:sz w:val="24"/>
          <w:szCs w:val="24"/>
        </w:rPr>
        <w:t>Заявка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Участника</w:t>
      </w:r>
      <w:r w:rsidRPr="00BD1880">
        <w:rPr>
          <w:sz w:val="24"/>
          <w:szCs w:val="24"/>
        </w:rPr>
        <w:t>, имеющ</w:t>
      </w:r>
      <w:r w:rsidR="00651485" w:rsidRPr="00BD1880">
        <w:rPr>
          <w:sz w:val="24"/>
          <w:szCs w:val="24"/>
        </w:rPr>
        <w:t>ая</w:t>
      </w:r>
      <w:r w:rsidRPr="00BD1880">
        <w:rPr>
          <w:sz w:val="24"/>
          <w:szCs w:val="24"/>
        </w:rPr>
        <w:t xml:space="preserve"> максимальную оценку.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</w:t>
      </w:r>
      <w:bookmarkStart w:id="3" w:name="_GoBack"/>
      <w:r w:rsidRPr="00BD1880">
        <w:rPr>
          <w:sz w:val="24"/>
          <w:szCs w:val="24"/>
        </w:rPr>
        <w:t>дв</w:t>
      </w:r>
      <w:bookmarkEnd w:id="3"/>
      <w:r w:rsidRPr="00BD1880">
        <w:rPr>
          <w:sz w:val="24"/>
          <w:szCs w:val="24"/>
        </w:rPr>
        <w:t xml:space="preserve">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</w:t>
      </w:r>
      <w:r w:rsidRPr="00BD1880">
        <w:rPr>
          <w:sz w:val="24"/>
          <w:szCs w:val="24"/>
        </w:rPr>
        <w:lastRenderedPageBreak/>
        <w:t xml:space="preserve">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D1880">
        <w:rPr>
          <w:sz w:val="24"/>
          <w:szCs w:val="24"/>
        </w:rPr>
        <w:t xml:space="preserve">которая </w:t>
      </w:r>
      <w:r w:rsidRPr="00BD1880">
        <w:rPr>
          <w:sz w:val="24"/>
          <w:szCs w:val="24"/>
        </w:rPr>
        <w:t xml:space="preserve">имеет приоритет при </w:t>
      </w:r>
      <w:r w:rsidR="00E90DE0" w:rsidRPr="00BD1880">
        <w:rPr>
          <w:sz w:val="24"/>
          <w:szCs w:val="24"/>
        </w:rPr>
        <w:t>поставке продукции российского происхождения</w:t>
      </w:r>
      <w:r w:rsidRPr="00BD1880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47E8C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11</cp:revision>
  <dcterms:created xsi:type="dcterms:W3CDTF">2020-10-27T13:00:00Z</dcterms:created>
  <dcterms:modified xsi:type="dcterms:W3CDTF">2021-06-17T12:01:00Z</dcterms:modified>
</cp:coreProperties>
</file>